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9E6998" w:rsidRPr="0014585A"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E2484B">
      <w:pPr>
        <w:numPr>
          <w:ilvl w:val="0"/>
          <w:numId w:val="45"/>
        </w:numPr>
        <w:spacing w:after="240"/>
        <w:ind w:right="74"/>
        <w:jc w:val="center"/>
        <w:rPr>
          <w:rFonts w:ascii="Calibri" w:hAnsi="Calibri"/>
          <w:b/>
          <w:color w:val="000000"/>
          <w:lang w:val="en-US"/>
        </w:rPr>
      </w:pPr>
      <w:r w:rsidRPr="00CC3246">
        <w:rPr>
          <w:rFonts w:ascii="Calibri" w:hAnsi="Calibri"/>
          <w:b/>
          <w:lang w:val="en-US"/>
        </w:rPr>
        <w:t>Extract from the educational outcomes in the field of -</w:t>
      </w:r>
      <w:r w:rsidRPr="00CC3246">
        <w:rPr>
          <w:b/>
          <w:lang w:val="en-US"/>
        </w:rPr>
        <w:t xml:space="preserve"> </w:t>
      </w:r>
      <w:r w:rsidR="0090604F">
        <w:rPr>
          <w:rFonts w:ascii="Calibri" w:hAnsi="Calibri"/>
          <w:b/>
          <w:color w:val="000000"/>
          <w:lang w:val="en-US"/>
        </w:rPr>
        <w:t>ECO</w:t>
      </w:r>
      <w:r w:rsidR="00E2484B" w:rsidRPr="00E2484B">
        <w:rPr>
          <w:rFonts w:ascii="Calibri" w:hAnsi="Calibri"/>
          <w:b/>
          <w:color w:val="000000"/>
          <w:lang w:val="en-US"/>
        </w:rPr>
        <w:t>POWER ENGINEERING</w:t>
      </w:r>
      <w:r w:rsidR="00E2484B">
        <w:rPr>
          <w:rFonts w:ascii="Calibri" w:hAnsi="Calibri"/>
          <w:b/>
          <w:color w:val="000000"/>
          <w:lang w:val="en-US"/>
        </w:rPr>
        <w:t>,</w:t>
      </w:r>
      <w:r w:rsidR="00E2484B" w:rsidRPr="00CC3246">
        <w:rPr>
          <w:rFonts w:ascii="Calibri" w:hAnsi="Calibri"/>
          <w:b/>
          <w:color w:val="000000"/>
          <w:lang w:val="en-US"/>
        </w:rPr>
        <w:t xml:space="preserve"> </w:t>
      </w:r>
      <w:r w:rsidR="0090604F">
        <w:rPr>
          <w:rFonts w:ascii="Calibri" w:hAnsi="Calibri"/>
          <w:b/>
          <w:color w:val="000000"/>
          <w:lang w:val="en-US"/>
        </w:rPr>
        <w:br/>
        <w:t>1st degree (B</w:t>
      </w:r>
      <w:r w:rsidRPr="00CC3246">
        <w:rPr>
          <w:rFonts w:ascii="Calibri" w:hAnsi="Calibri"/>
          <w:b/>
          <w:color w:val="000000"/>
          <w:lang w:val="en-US"/>
        </w:rPr>
        <w:t>.Sc.)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0604F" w:rsidRPr="0090604F" w:rsidTr="00977514">
        <w:trPr>
          <w:jc w:val="center"/>
        </w:trPr>
        <w:tc>
          <w:tcPr>
            <w:tcW w:w="9408" w:type="dxa"/>
            <w:shd w:val="clear" w:color="auto" w:fill="E7E6E6"/>
            <w:vAlign w:val="center"/>
          </w:tcPr>
          <w:p w:rsidR="0090604F" w:rsidRPr="0090604F" w:rsidRDefault="0090604F" w:rsidP="00977514">
            <w:pPr>
              <w:tabs>
                <w:tab w:val="center" w:pos="3311"/>
                <w:tab w:val="left" w:pos="5055"/>
              </w:tabs>
              <w:ind w:right="74"/>
              <w:jc w:val="center"/>
              <w:rPr>
                <w:rFonts w:asciiTheme="minorHAnsi" w:hAnsiTheme="minorHAnsi" w:cstheme="minorHAnsi"/>
                <w:b/>
                <w:i/>
                <w:sz w:val="16"/>
                <w:szCs w:val="16"/>
              </w:rPr>
            </w:pPr>
            <w:r w:rsidRPr="0090604F">
              <w:rPr>
                <w:rFonts w:asciiTheme="minorHAnsi" w:hAnsiTheme="minorHAnsi" w:cstheme="minorHAnsi"/>
                <w:b/>
                <w:i/>
                <w:sz w:val="16"/>
                <w:szCs w:val="16"/>
              </w:rPr>
              <w:t>PROFESSIONAL KNOWLEDGE (PK)</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has general knowledge in mathematics, chemistry and biology required to understand processes related to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w:t>
            </w:r>
            <w:proofErr w:type="spellStart"/>
            <w:r w:rsidRPr="0090604F">
              <w:rPr>
                <w:rFonts w:asciiTheme="minorHAnsi" w:hAnsiTheme="minorHAnsi" w:cstheme="minorHAnsi"/>
                <w:sz w:val="16"/>
                <w:szCs w:val="16"/>
                <w:lang w:val="en-US"/>
              </w:rPr>
              <w:t>recognises</w:t>
            </w:r>
            <w:proofErr w:type="spellEnd"/>
            <w:r w:rsidRPr="0090604F">
              <w:rPr>
                <w:rFonts w:asciiTheme="minorHAnsi" w:hAnsiTheme="minorHAnsi" w:cstheme="minorHAnsi"/>
                <w:sz w:val="16"/>
                <w:szCs w:val="16"/>
                <w:lang w:val="en-US"/>
              </w:rPr>
              <w:t xml:space="preserve"> laws of physics, appropriately selects mathematical tools to solve simple engineering tasks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has basic knowledge concerning legal and economic foundations as well as technological requirements in the application of environmental protection equipment and systems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basic dependencies between ethics and values and norms, the student is aware of the need to apply law in the protection of intellectual and industrial property</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and understands principles for the presentation of spatial (3D) objects on a plane (2D) in orthogonal and axonometric projections, the student knows the principles and tools facilitating their extensive modifications and mutual transformation, the student applies symbolic representations in the graphic presentation of machine parts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and understands problems of statics, kinematics and fluid dynamics, the student knows the design and operation of hydraulic and pneumatic elements as well as principles related to their selection and use</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and understands thermodynamic principles as well as thermodynamic processes and cycles used in power engineering systems related to agriculture and renewable energy sources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knows soil properties, can explain basic theoretical problems in soil geology </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and understands basic concepts in electrical engineering and automatics, principles of operation of electrical and electronic equipment and installations as well as dynamic systems in automatics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knows and understands concepts and principles of deformable body mechanics and foundations of kinematics of machines used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characteristics of major plant and animal raw materials. The student has basic knowledge on rearing main farm animal species and production of animal and plant origin materials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w:t>
            </w:r>
            <w:proofErr w:type="spellStart"/>
            <w:r w:rsidRPr="0090604F">
              <w:rPr>
                <w:rFonts w:asciiTheme="minorHAnsi" w:hAnsiTheme="minorHAnsi" w:cstheme="minorHAnsi"/>
                <w:sz w:val="16"/>
                <w:szCs w:val="16"/>
                <w:lang w:val="en-US"/>
              </w:rPr>
              <w:t>characterise</w:t>
            </w:r>
            <w:proofErr w:type="spellEnd"/>
            <w:r w:rsidRPr="0090604F">
              <w:rPr>
                <w:rFonts w:asciiTheme="minorHAnsi" w:hAnsiTheme="minorHAnsi" w:cstheme="minorHAnsi"/>
                <w:sz w:val="16"/>
                <w:szCs w:val="16"/>
                <w:lang w:val="en-US"/>
              </w:rPr>
              <w:t xml:space="preserve"> and list performance parameters of tractors, machines and tools used in plant and animal production</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basic concepts concerning machine work technologies, can explain factors determining functioning and development of rural areas in terms of implementation of waste and machine recycling technologies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define metrological properties of measuring instruments, the student knows procedures for appropriate measurement of physical quantities; the student has knowledge on the need to perform precise measurements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 processes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presents processes taking place in machines and equipment, including those used in plant protection</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basic functions of enterprise management and management processes, the student is acquainted with recording and settlement procedures as well as costing methods, the student understands economic risks in the renewable energy industry</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w:t>
            </w:r>
            <w:proofErr w:type="spellStart"/>
            <w:r w:rsidRPr="0090604F">
              <w:rPr>
                <w:rFonts w:asciiTheme="minorHAnsi" w:hAnsiTheme="minorHAnsi" w:cstheme="minorHAnsi"/>
                <w:sz w:val="16"/>
                <w:szCs w:val="16"/>
                <w:lang w:val="en-US"/>
              </w:rPr>
              <w:t>characterise</w:t>
            </w:r>
            <w:proofErr w:type="spellEnd"/>
            <w:r w:rsidRPr="0090604F">
              <w:rPr>
                <w:rFonts w:asciiTheme="minorHAnsi" w:hAnsiTheme="minorHAnsi" w:cstheme="minorHAnsi"/>
                <w:sz w:val="16"/>
                <w:szCs w:val="16"/>
                <w:lang w:val="en-US"/>
              </w:rPr>
              <w:t xml:space="preserve"> the structure of fossil fuels and renewable energy sources in Poland and worldwide. The student knows the economic and social role of renewable energy sources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w:t>
            </w:r>
            <w:proofErr w:type="spellStart"/>
            <w:r w:rsidRPr="0090604F">
              <w:rPr>
                <w:rFonts w:asciiTheme="minorHAnsi" w:hAnsiTheme="minorHAnsi" w:cstheme="minorHAnsi"/>
                <w:sz w:val="16"/>
                <w:szCs w:val="16"/>
                <w:lang w:val="en-US"/>
              </w:rPr>
              <w:t>characterise</w:t>
            </w:r>
            <w:proofErr w:type="spellEnd"/>
            <w:r w:rsidRPr="0090604F">
              <w:rPr>
                <w:rFonts w:asciiTheme="minorHAnsi" w:hAnsiTheme="minorHAnsi" w:cstheme="minorHAnsi"/>
                <w:sz w:val="16"/>
                <w:szCs w:val="16"/>
                <w:lang w:val="en-US"/>
              </w:rPr>
              <w:t xml:space="preserve"> and list basic working parameters of machines and tools used in the production of solid biofuels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knows and understands foundations of production of gaseous biofuels</w:t>
            </w:r>
          </w:p>
        </w:tc>
      </w:tr>
      <w:tr w:rsidR="0090604F" w:rsidRPr="0090604F" w:rsidTr="00977514">
        <w:trPr>
          <w:jc w:val="center"/>
        </w:trPr>
        <w:tc>
          <w:tcPr>
            <w:tcW w:w="9408" w:type="dxa"/>
            <w:shd w:val="clear" w:color="auto" w:fill="auto"/>
            <w:vAlign w:val="center"/>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has  basic knowledge on the production of liquid biofuels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has basic knowledge on </w:t>
            </w:r>
            <w:proofErr w:type="spellStart"/>
            <w:r w:rsidRPr="0090604F">
              <w:rPr>
                <w:rFonts w:asciiTheme="minorHAnsi" w:hAnsiTheme="minorHAnsi" w:cstheme="minorHAnsi"/>
                <w:sz w:val="16"/>
                <w:szCs w:val="16"/>
                <w:lang w:val="en-US"/>
              </w:rPr>
              <w:t>heliothermal</w:t>
            </w:r>
            <w:proofErr w:type="spellEnd"/>
            <w:r w:rsidRPr="0090604F">
              <w:rPr>
                <w:rFonts w:asciiTheme="minorHAnsi" w:hAnsiTheme="minorHAnsi" w:cstheme="minorHAnsi"/>
                <w:sz w:val="16"/>
                <w:szCs w:val="16"/>
                <w:lang w:val="en-US"/>
              </w:rPr>
              <w:t xml:space="preserve"> and photovoltaic power engineering</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describe technologies used in wind power engineering</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has basic knowledge on energy collection from surface waters and geothermal 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describe technological characteristics of basic systems in biological municipal waste treatment plants and waste disposal</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has basic knowledge on construction industry</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has general knowledge on costs in logistics, particularly problems of unit costs in vehicle transport</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knows and understands general principles of design, the need for </w:t>
            </w:r>
            <w:proofErr w:type="spellStart"/>
            <w:r w:rsidRPr="0090604F">
              <w:rPr>
                <w:rFonts w:asciiTheme="minorHAnsi" w:hAnsiTheme="minorHAnsi" w:cstheme="minorHAnsi"/>
                <w:sz w:val="16"/>
                <w:szCs w:val="16"/>
                <w:lang w:val="en-US"/>
              </w:rPr>
              <w:t>standardisation</w:t>
            </w:r>
            <w:proofErr w:type="spellEnd"/>
            <w:r w:rsidRPr="0090604F">
              <w:rPr>
                <w:rFonts w:asciiTheme="minorHAnsi" w:hAnsiTheme="minorHAnsi" w:cstheme="minorHAnsi"/>
                <w:sz w:val="16"/>
                <w:szCs w:val="16"/>
                <w:lang w:val="en-US"/>
              </w:rPr>
              <w:t xml:space="preserve"> and unification, methods supporting technical system design</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explain methods to implement information technology to meet needs related to studies</w:t>
            </w:r>
          </w:p>
        </w:tc>
      </w:tr>
      <w:tr w:rsidR="0090604F" w:rsidRPr="0090604F" w:rsidTr="00977514">
        <w:trPr>
          <w:jc w:val="center"/>
        </w:trPr>
        <w:tc>
          <w:tcPr>
            <w:tcW w:w="9408" w:type="dxa"/>
            <w:shd w:val="clear" w:color="auto" w:fill="E7E6E6"/>
            <w:vAlign w:val="center"/>
          </w:tcPr>
          <w:p w:rsidR="0090604F" w:rsidRPr="0090604F" w:rsidRDefault="0090604F" w:rsidP="00977514">
            <w:pPr>
              <w:tabs>
                <w:tab w:val="center" w:pos="3311"/>
                <w:tab w:val="left" w:pos="5415"/>
              </w:tabs>
              <w:ind w:right="74"/>
              <w:jc w:val="center"/>
              <w:rPr>
                <w:rFonts w:asciiTheme="minorHAnsi" w:hAnsiTheme="minorHAnsi" w:cstheme="minorHAnsi"/>
                <w:b/>
                <w:i/>
                <w:sz w:val="16"/>
                <w:szCs w:val="16"/>
              </w:rPr>
            </w:pPr>
            <w:r w:rsidRPr="0090604F">
              <w:rPr>
                <w:rFonts w:asciiTheme="minorHAnsi" w:hAnsiTheme="minorHAnsi" w:cstheme="minorHAnsi"/>
                <w:b/>
                <w:i/>
                <w:sz w:val="16"/>
                <w:szCs w:val="16"/>
              </w:rPr>
              <w:t>PROFESSIONAL SKILLS (PS)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identify and determine types, subtypes and species of soils and substrates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identify plant species grown as energy crops and can apply appropriate cultivation technologies and assess their effect on the natural environment</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evaluate applicability in agriculture for construction materials and technical designs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lastRenderedPageBreak/>
              <w:t>The student can use measuring instruments, can take measurements of physical, electrical, chemical and biological units characteristic of materials, machines and equipment used on renewable energy installations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prepare a descriptive design for the selection of environmental protection methods and equipment for a specific hazard</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design a simple technological process or technical system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 and use technological documentation</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formulate opinions on efficiency of energy collection from unconventional 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appropriately select equipment and technological solutions to reduce the environmental impact of a given installation or activity</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perform simple operations related to the practical operation of agricultural machines, as well as machines and equipment in renewable energy installations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identify mechanical, hydraulic and pneumatic elements in functional diagrams of technical equipment used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appropriately </w:t>
            </w:r>
            <w:proofErr w:type="spellStart"/>
            <w:r w:rsidRPr="0090604F">
              <w:rPr>
                <w:rFonts w:asciiTheme="minorHAnsi" w:hAnsiTheme="minorHAnsi" w:cstheme="minorHAnsi"/>
                <w:sz w:val="16"/>
                <w:szCs w:val="16"/>
                <w:lang w:val="en-US"/>
              </w:rPr>
              <w:t>analyse</w:t>
            </w:r>
            <w:proofErr w:type="spellEnd"/>
            <w:r w:rsidRPr="0090604F">
              <w:rPr>
                <w:rFonts w:asciiTheme="minorHAnsi" w:hAnsiTheme="minorHAnsi" w:cstheme="minorHAnsi"/>
                <w:sz w:val="16"/>
                <w:szCs w:val="16"/>
                <w:lang w:val="en-US"/>
              </w:rPr>
              <w:t xml:space="preserve"> a design task in relation to the environmental impact indicating its drawbacks and advantages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present new or upgraded solutions of an assembly in machines and technical equipment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 using analytical methods </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use a spreadsheet, prepare and present computer designs, including those supporting agricultural production related to renewable energy 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undertakes actions using appropriate mathematical and statistical methods, techniques and technologies in solution of mathematical, physical and chemical problems, in plant and animal production, environmental protection and renewable energy 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prepare a schedule of services in technical maintenance of machines and equipment used in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w:t>
            </w:r>
            <w:proofErr w:type="spellStart"/>
            <w:r w:rsidRPr="0090604F">
              <w:rPr>
                <w:rFonts w:asciiTheme="minorHAnsi" w:hAnsiTheme="minorHAnsi" w:cstheme="minorHAnsi"/>
                <w:sz w:val="16"/>
                <w:szCs w:val="16"/>
                <w:lang w:val="en-US"/>
              </w:rPr>
              <w:t>organise</w:t>
            </w:r>
            <w:proofErr w:type="spellEnd"/>
            <w:r w:rsidRPr="0090604F">
              <w:rPr>
                <w:rFonts w:asciiTheme="minorHAnsi" w:hAnsiTheme="minorHAnsi" w:cstheme="minorHAnsi"/>
                <w:sz w:val="16"/>
                <w:szCs w:val="16"/>
                <w:lang w:val="en-US"/>
              </w:rPr>
              <w:t xml:space="preserve"> economic activity in the sphere of production or services related to the use of renewable energy 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prepare, based on an analysis of literature and experiments conducted under the supervision of a scientific supervisor, a study in renewable energy sources; the student can present it using appropriate style in Polish and a foreign language (B2 level)</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propose processes and management procedures, control and logistics systems in a renewable energy generating plant </w:t>
            </w:r>
          </w:p>
        </w:tc>
      </w:tr>
      <w:tr w:rsidR="0090604F" w:rsidRPr="0090604F" w:rsidTr="00977514">
        <w:trPr>
          <w:jc w:val="center"/>
        </w:trPr>
        <w:tc>
          <w:tcPr>
            <w:tcW w:w="9408" w:type="dxa"/>
            <w:shd w:val="clear" w:color="auto" w:fill="E7E6E6"/>
            <w:vAlign w:val="center"/>
          </w:tcPr>
          <w:p w:rsidR="0090604F" w:rsidRPr="0090604F" w:rsidRDefault="0090604F" w:rsidP="00977514">
            <w:pPr>
              <w:ind w:right="74"/>
              <w:jc w:val="center"/>
              <w:rPr>
                <w:rFonts w:asciiTheme="minorHAnsi" w:hAnsiTheme="minorHAnsi" w:cstheme="minorHAnsi"/>
                <w:b/>
                <w:i/>
                <w:sz w:val="16"/>
                <w:szCs w:val="16"/>
              </w:rPr>
            </w:pPr>
            <w:r w:rsidRPr="0090604F">
              <w:rPr>
                <w:rFonts w:asciiTheme="minorHAnsi" w:hAnsiTheme="minorHAnsi" w:cstheme="minorHAnsi"/>
                <w:b/>
                <w:i/>
                <w:sz w:val="16"/>
                <w:szCs w:val="16"/>
              </w:rPr>
              <w:t>SOCIAL COMPETENCES (SC)</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understands the need for individual work aiming at mastering and broadening of acquired knowledge and developed practical skills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think creatively and assess the risk of wrong decisions, defending their position; the student is open to criticism and based on it can draw appropriate conclusions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define engineering problems and priorities in professional activity</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is aware of the impact of dynamically developing macro- and microeconomic situation on the ecosystem</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is aware of the important effect of modern technology on natural resources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is creative and open to innovations in technological processes related to </w:t>
            </w:r>
            <w:proofErr w:type="spellStart"/>
            <w:r w:rsidRPr="0090604F">
              <w:rPr>
                <w:rFonts w:asciiTheme="minorHAnsi" w:hAnsiTheme="minorHAnsi" w:cstheme="minorHAnsi"/>
                <w:sz w:val="16"/>
                <w:szCs w:val="16"/>
                <w:lang w:val="en-US"/>
              </w:rPr>
              <w:t>ecopower</w:t>
            </w:r>
            <w:proofErr w:type="spellEnd"/>
            <w:r w:rsidRPr="0090604F">
              <w:rPr>
                <w:rFonts w:asciiTheme="minorHAnsi" w:hAnsiTheme="minorHAnsi" w:cstheme="minorHAnsi"/>
                <w:sz w:val="16"/>
                <w:szCs w:val="16"/>
                <w:lang w:val="en-US"/>
              </w:rPr>
              <w:t xml:space="preserve"> engineering</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is aware of the need to apply appropriate technological solutions in order to reduce the adverse environmental impact</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 xml:space="preserve">The student can define and consider necessary environmental criteria when </w:t>
            </w:r>
            <w:proofErr w:type="spellStart"/>
            <w:r w:rsidRPr="0090604F">
              <w:rPr>
                <w:rFonts w:asciiTheme="minorHAnsi" w:hAnsiTheme="minorHAnsi" w:cstheme="minorHAnsi"/>
                <w:sz w:val="16"/>
                <w:szCs w:val="16"/>
                <w:lang w:val="en-US"/>
              </w:rPr>
              <w:t>realising</w:t>
            </w:r>
            <w:proofErr w:type="spellEnd"/>
            <w:r w:rsidRPr="0090604F">
              <w:rPr>
                <w:rFonts w:asciiTheme="minorHAnsi" w:hAnsiTheme="minorHAnsi" w:cstheme="minorHAnsi"/>
                <w:sz w:val="16"/>
                <w:szCs w:val="16"/>
                <w:lang w:val="en-US"/>
              </w:rPr>
              <w:t xml:space="preserve"> specific engineering tasks</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is open to cooperation with individuals, companies and institutions; the student can work as part of a team, assuming various functions; the student is aware of the effect of their decisions on the team</w:t>
            </w:r>
          </w:p>
        </w:tc>
      </w:tr>
      <w:tr w:rsidR="0090604F" w:rsidRPr="0090604F" w:rsidTr="00977514">
        <w:trPr>
          <w:jc w:val="center"/>
        </w:trPr>
        <w:tc>
          <w:tcPr>
            <w:tcW w:w="9408" w:type="dxa"/>
            <w:shd w:val="clear" w:color="auto" w:fill="auto"/>
          </w:tcPr>
          <w:p w:rsidR="0090604F" w:rsidRPr="0090604F" w:rsidRDefault="0090604F" w:rsidP="00977514">
            <w:pPr>
              <w:ind w:right="74"/>
              <w:jc w:val="both"/>
              <w:rPr>
                <w:rFonts w:asciiTheme="minorHAnsi" w:hAnsiTheme="minorHAnsi" w:cstheme="minorHAnsi"/>
                <w:sz w:val="16"/>
                <w:szCs w:val="16"/>
                <w:lang w:val="en-US"/>
              </w:rPr>
            </w:pPr>
            <w:r w:rsidRPr="0090604F">
              <w:rPr>
                <w:rFonts w:asciiTheme="minorHAnsi" w:hAnsiTheme="minorHAnsi" w:cstheme="minorHAnsi"/>
                <w:sz w:val="16"/>
                <w:szCs w:val="16"/>
                <w:lang w:val="en-US"/>
              </w:rPr>
              <w:t>The student can apply the system of values based on respect of law and ethical norms</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BC6F93" w:rsidRDefault="00BC6F93" w:rsidP="00BC6F93">
      <w:pPr>
        <w:ind w:right="74"/>
        <w:rPr>
          <w:rFonts w:ascii="Calibri" w:hAnsi="Calibri" w:cs="Calibri"/>
          <w:sz w:val="16"/>
          <w:u w:val="single"/>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lastRenderedPageBreak/>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proofErr w:type="spellStart"/>
            <w:r w:rsidR="0090604F">
              <w:rPr>
                <w:rFonts w:ascii="Calibri" w:hAnsi="Calibri"/>
                <w:i/>
                <w:color w:val="808080" w:themeColor="background1" w:themeShade="80"/>
                <w:lang w:val="en-GB"/>
              </w:rPr>
              <w:t>Eco</w:t>
            </w:r>
            <w:r w:rsidR="00E2484B" w:rsidRPr="00E2484B">
              <w:rPr>
                <w:rFonts w:ascii="Calibri" w:hAnsi="Calibri"/>
                <w:i/>
                <w:color w:val="808080" w:themeColor="background1" w:themeShade="80"/>
                <w:lang w:val="en-GB"/>
              </w:rPr>
              <w:t>power</w:t>
            </w:r>
            <w:proofErr w:type="spellEnd"/>
            <w:r w:rsidR="00E2484B" w:rsidRPr="00E2484B">
              <w:rPr>
                <w:rFonts w:ascii="Calibri" w:hAnsi="Calibri"/>
                <w:i/>
                <w:color w:val="808080" w:themeColor="background1" w:themeShade="80"/>
                <w:lang w:val="en-GB"/>
              </w:rPr>
              <w:t xml:space="preserve">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proofErr w:type="spellStart"/>
            <w:r w:rsidR="0090604F">
              <w:rPr>
                <w:rFonts w:ascii="Calibri" w:hAnsi="Calibri"/>
                <w:i/>
                <w:color w:val="808080" w:themeColor="background1" w:themeShade="80"/>
                <w:lang w:val="en-GB"/>
              </w:rPr>
              <w:t>Eco</w:t>
            </w:r>
            <w:r w:rsidR="00E2484B" w:rsidRPr="00E2484B">
              <w:rPr>
                <w:rFonts w:ascii="Calibri" w:hAnsi="Calibri"/>
                <w:i/>
                <w:color w:val="808080" w:themeColor="background1" w:themeShade="80"/>
                <w:lang w:val="en-GB"/>
              </w:rPr>
              <w:t>power</w:t>
            </w:r>
            <w:proofErr w:type="spellEnd"/>
            <w:r w:rsidR="00E2484B" w:rsidRPr="00E2484B">
              <w:rPr>
                <w:rFonts w:ascii="Calibri" w:hAnsi="Calibri"/>
                <w:i/>
                <w:color w:val="808080" w:themeColor="background1" w:themeShade="80"/>
                <w:lang w:val="en-GB"/>
              </w:rPr>
              <w:t xml:space="preserve">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lastRenderedPageBreak/>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lastRenderedPageBreak/>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90604F">
              <w:rPr>
                <w:rFonts w:ascii="Calibri" w:hAnsi="Calibri"/>
                <w:i/>
                <w:color w:val="808080" w:themeColor="background1" w:themeShade="80"/>
                <w:lang w:val="en-GB"/>
              </w:rPr>
              <w:t>Eco</w:t>
            </w:r>
            <w:bookmarkStart w:id="0" w:name="_GoBack"/>
            <w:bookmarkEnd w:id="0"/>
            <w:r w:rsidR="00E2484B" w:rsidRPr="00E2484B">
              <w:rPr>
                <w:rFonts w:ascii="Calibri" w:hAnsi="Calibri"/>
                <w:i/>
                <w:color w:val="808080" w:themeColor="background1" w:themeShade="80"/>
                <w:lang w:val="en-GB"/>
              </w:rPr>
              <w:t>power engineering</w:t>
            </w:r>
            <w:r w:rsidR="00CC3246">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E2484B"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9F4889">
      <w:headerReference w:type="default" r:id="rId8"/>
      <w:footerReference w:type="default" r:id="rId9"/>
      <w:pgSz w:w="11906" w:h="16838"/>
      <w:pgMar w:top="855" w:right="1133"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04F"/>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484B"/>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7161F"/>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B67F-98DB-4971-B17A-F4119AB1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2</cp:revision>
  <cp:lastPrinted>2018-12-14T11:29:00Z</cp:lastPrinted>
  <dcterms:created xsi:type="dcterms:W3CDTF">2019-04-04T13:20:00Z</dcterms:created>
  <dcterms:modified xsi:type="dcterms:W3CDTF">2019-04-04T13:20:00Z</dcterms:modified>
</cp:coreProperties>
</file>