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C3" w:rsidRPr="005B5D34" w:rsidRDefault="00F718DB" w:rsidP="00083165">
      <w:pPr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9</w:t>
      </w:r>
      <w:r w:rsidRPr="005B5D34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E75E4A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857B40" w:rsidRDefault="00857B40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</w:pPr>
    </w:p>
    <w:p w:rsidR="00BC6F93" w:rsidRPr="00E75E4A" w:rsidRDefault="00BC6F93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2"/>
          <w:szCs w:val="22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 w:rsidRPr="00E75E4A">
        <w:rPr>
          <w:rFonts w:asciiTheme="minorHAnsi" w:eastAsia="Times New Roman" w:hAnsiTheme="minorHAnsi" w:cs="Courier New"/>
          <w:sz w:val="22"/>
          <w:szCs w:val="22"/>
          <w:lang w:val="en-US" w:eastAsia="pl-PL"/>
        </w:rPr>
        <w:t>……………………………………………</w:t>
      </w:r>
    </w:p>
    <w:p w:rsidR="00BC6F93" w:rsidRDefault="00E75E4A" w:rsidP="00F7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</w:r>
      <w:r>
        <w:rPr>
          <w:rFonts w:asciiTheme="minorHAnsi" w:eastAsia="Times New Roman" w:hAnsiTheme="minorHAnsi" w:cs="Courier New"/>
          <w:b/>
          <w:sz w:val="22"/>
          <w:szCs w:val="22"/>
          <w:lang w:val="en-US" w:eastAsia="pl-PL"/>
        </w:rPr>
        <w:tab/>
        <w:t xml:space="preserve">              </w:t>
      </w:r>
      <w:r w:rsidR="00BC6F93" w:rsidRPr="00BC6F93"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  <w:t>University stamp</w:t>
      </w:r>
    </w:p>
    <w:p w:rsidR="00BC6F93" w:rsidRPr="00BC6F93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color w:val="808080" w:themeColor="background1" w:themeShade="80"/>
          <w:sz w:val="18"/>
          <w:szCs w:val="18"/>
          <w:lang w:val="en-US" w:eastAsia="pl-PL"/>
        </w:rPr>
      </w:pPr>
    </w:p>
    <w:p w:rsidR="00C43391" w:rsidRPr="00857B40" w:rsidRDefault="00BC6F93" w:rsidP="00BC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Courier New"/>
          <w:b/>
          <w:lang w:val="en-US" w:eastAsia="pl-PL"/>
        </w:rPr>
      </w:pPr>
      <w:r w:rsidRPr="00857B40">
        <w:rPr>
          <w:rFonts w:asciiTheme="minorHAnsi" w:eastAsia="Times New Roman" w:hAnsiTheme="minorHAnsi" w:cs="Courier New"/>
          <w:b/>
          <w:lang w:val="en-US" w:eastAsia="pl-PL"/>
        </w:rPr>
        <w:t>INTERNSHIP PROGRAMME</w:t>
      </w:r>
    </w:p>
    <w:p w:rsidR="009E6998" w:rsidRPr="00857B40" w:rsidRDefault="009E6998" w:rsidP="0085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12"/>
          <w:szCs w:val="12"/>
          <w:lang w:val="en-US" w:eastAsia="pl-PL"/>
        </w:rPr>
      </w:pPr>
    </w:p>
    <w:p w:rsidR="00BC6F93" w:rsidRPr="00857B40" w:rsidRDefault="00BC6F93" w:rsidP="00857B40">
      <w:pPr>
        <w:pStyle w:val="Akapitzlist"/>
        <w:numPr>
          <w:ilvl w:val="0"/>
          <w:numId w:val="45"/>
        </w:numPr>
        <w:spacing w:after="240"/>
        <w:jc w:val="center"/>
        <w:rPr>
          <w:rFonts w:ascii="Calibri" w:eastAsia="Calibri" w:hAnsi="Calibri"/>
          <w:b/>
          <w:color w:val="000000"/>
          <w:lang w:val="en-US" w:eastAsia="en-US"/>
        </w:rPr>
      </w:pPr>
      <w:r w:rsidRPr="00857B40">
        <w:rPr>
          <w:rFonts w:ascii="Calibri" w:hAnsi="Calibri"/>
          <w:b/>
          <w:lang w:val="en-US"/>
        </w:rPr>
        <w:t>Extract from the educational outcomes in the field of -</w:t>
      </w:r>
      <w:r w:rsidRPr="00857B40">
        <w:rPr>
          <w:b/>
          <w:lang w:val="en-US"/>
        </w:rPr>
        <w:t xml:space="preserve"> </w:t>
      </w:r>
      <w:r w:rsidR="00857B40" w:rsidRPr="00857B40">
        <w:rPr>
          <w:rFonts w:ascii="Calibri" w:eastAsia="Calibri" w:hAnsi="Calibri"/>
          <w:b/>
          <w:color w:val="000000"/>
          <w:lang w:val="en-US" w:eastAsia="en-US"/>
        </w:rPr>
        <w:t>ENVIRONMENTAL PROTECTION</w:t>
      </w:r>
      <w:r w:rsidR="00E2484B" w:rsidRPr="00857B40">
        <w:rPr>
          <w:rFonts w:ascii="Calibri" w:hAnsi="Calibri"/>
          <w:b/>
          <w:color w:val="000000"/>
          <w:lang w:val="en-US"/>
        </w:rPr>
        <w:t xml:space="preserve">, </w:t>
      </w:r>
      <w:r w:rsidRPr="00857B40">
        <w:rPr>
          <w:rFonts w:ascii="Calibri" w:hAnsi="Calibri"/>
          <w:b/>
          <w:color w:val="000000"/>
          <w:lang w:val="en-US"/>
        </w:rPr>
        <w:t>2nd degree (M.Sc.)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857B40" w:rsidRPr="005A7C76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857B40" w:rsidRPr="00B40116" w:rsidRDefault="00857B40" w:rsidP="00AB241B">
            <w:pPr>
              <w:tabs>
                <w:tab w:val="center" w:pos="3311"/>
                <w:tab w:val="left" w:pos="5055"/>
              </w:tabs>
              <w:ind w:left="720"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Style w:val="Normalny"/>
                <w:rFonts w:ascii="Calibri" w:hAnsi="Calibri"/>
                <w:b/>
                <w:i/>
                <w:sz w:val="16"/>
              </w:rPr>
              <w:t>PROFESSIONAL KNOWLEDGE (PK)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Knows and understands the rules of compilation of empirical data and the importance and application of statistical methods in the environmental studies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Describes phenomena and physical processes associated with the biophysical changes occurring in the atmosphere, hydrosphere, geosphere and biosphere in relation to rural areas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Knows the state ecological practice as well as regional and local environmental </w:t>
            </w: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programmes</w:t>
            </w:r>
            <w:proofErr w:type="spellEnd"/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Demonstrates in-depth knowledge about the selected directional disciplines, enabling the perception of relationships and dependencies in nature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Knows and explains the organisms’ response mechanisms to stress in the environment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Knows the rules of evaluation and </w:t>
            </w: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valorisation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of the landscape, shaping ecotones, apply bio-indicators in the environmental studies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Demonstrates knowledge about the research planning applying the latest research techniques involved in the field of studies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Characterises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the most important technologies of plant and animal production, and understands their influence on the surrounding environment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Has extended knowledge in biodiversity and biotechnological achievements applied in the environmental protection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Knows problems in the protection and development of the environment, especially in rural areas, currently discussed in the literature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Knows the methods of development and writing a dissertation and research thesis, and applies the knowledge of the copyright law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Has knowledge about the mechanisms and procedures for administrative, financial and legal conditions to gain funds for the research and application projects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Has extended knowledge about vocabulary and terminology of the studied field in a foreign language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Has extended knowledge about the creation and development of the enterprise forms in the infrastructure and environment execution</w:t>
            </w:r>
          </w:p>
        </w:tc>
      </w:tr>
      <w:tr w:rsidR="00857B40" w:rsidRPr="005A7C76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857B40" w:rsidRPr="00B40116" w:rsidRDefault="00857B40" w:rsidP="00AB241B">
            <w:pPr>
              <w:tabs>
                <w:tab w:val="center" w:pos="3311"/>
                <w:tab w:val="left" w:pos="5415"/>
              </w:tabs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Style w:val="Normalny"/>
                <w:rFonts w:ascii="Calibri" w:hAnsi="Calibri"/>
                <w:b/>
                <w:i/>
                <w:sz w:val="16"/>
              </w:rPr>
              <w:t>PROFESSIONAL SKILLS (PS)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Recognizes and applies the basic methods in the environmental research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Applies the statistical methods, and is able to model the processes and phenomena occurring in nature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Evaluates the environmental quality and threats based on the biosphere condition, especially in rural areas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Develops the guidelines to </w:t>
            </w: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reclamate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soil devastated as a result of the anthropogenic activities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Identifies the types of landscapes, and is able to </w:t>
            </w: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analyse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the planning documents and evaluate the environmental results of the implemented investments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Applies acquired knowledge in the evaluation of the status and transformation of the natural environment based on the methods and indicators applied in the studied field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Identifies and evaluates the causes, results and methods to prevent from physical, chemical and biological degradation of soil in the environment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Executes independent and multilateral analysis of the conditions and factors determining the production and quality of food, human and animal health and the environment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Evaluates potential sources of intoxication, regional and safe application of the </w:t>
            </w: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ecotoxic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substances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Applies the administrative, market, legal and economic tools in the environmental protection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Applies the rules of scientific or project work, independently or in a team, and evaluates the pros and cons of taken activities 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Applies the specialized terminology in the field of the environmental protection in Polish and English (foreign language)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Publicly presents the results of its own work, makes accurate hypothesis, applies scientific arguments</w:t>
            </w:r>
          </w:p>
        </w:tc>
      </w:tr>
      <w:tr w:rsidR="00857B40" w:rsidRPr="005A7C76" w:rsidTr="00AB241B">
        <w:trPr>
          <w:jc w:val="center"/>
        </w:trPr>
        <w:tc>
          <w:tcPr>
            <w:tcW w:w="9280" w:type="dxa"/>
            <w:shd w:val="clear" w:color="auto" w:fill="E7E6E6"/>
          </w:tcPr>
          <w:p w:rsidR="00857B40" w:rsidRPr="00B40116" w:rsidRDefault="00857B40" w:rsidP="00AB241B">
            <w:pPr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Style w:val="Normalny"/>
                <w:rFonts w:ascii="Calibri" w:hAnsi="Calibri"/>
                <w:b/>
                <w:i/>
                <w:sz w:val="16"/>
              </w:rPr>
              <w:t>SOCIAL SKILLS (SS)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Understands the need for continuous education in the represented field and the possibility of retraining, depending on the emerging conditions in the </w:t>
            </w: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labour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market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Organises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and reliably executes the research related to a dissertation and scientific work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Respects the intellectual property rights of authors of scientific works quoted in its works, demonstrating the critical attitude towards plagiarism 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Is aware of the variation occurring in the environment and the consequent need to respect the rules of good practice in the scientific research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Is open to the creation and transmission of information about the environment condition and its threats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Is able to prepare presentations of MA thesis and is prepared to defend it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Predicts the results of various types of the environmental impacts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Applies the laws of nature in technique and everyday life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Understands the need to apply its knowledge in the field of the environmental issues in the education and formation of ecological awareness</w:t>
            </w:r>
          </w:p>
        </w:tc>
      </w:tr>
      <w:tr w:rsidR="00857B40" w:rsidRPr="00857B40" w:rsidTr="00AB241B">
        <w:trPr>
          <w:jc w:val="center"/>
        </w:trPr>
        <w:tc>
          <w:tcPr>
            <w:tcW w:w="9280" w:type="dxa"/>
            <w:shd w:val="clear" w:color="auto" w:fill="auto"/>
          </w:tcPr>
          <w:p w:rsidR="00857B40" w:rsidRPr="00857B40" w:rsidRDefault="00857B40" w:rsidP="00AB241B">
            <w:pPr>
              <w:jc w:val="both"/>
              <w:rPr>
                <w:rFonts w:ascii="Calibri" w:eastAsia="Times New Roman" w:hAnsi="Calibri" w:cs="Arial"/>
                <w:sz w:val="16"/>
                <w:szCs w:val="22"/>
                <w:lang w:val="en-US"/>
              </w:rPr>
            </w:pPr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When working in human teams, it participates in the development of the environmental </w:t>
            </w:r>
            <w:proofErr w:type="spellStart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>programmes</w:t>
            </w:r>
            <w:proofErr w:type="spellEnd"/>
            <w:r w:rsidRPr="00857B40">
              <w:rPr>
                <w:rStyle w:val="Normalny"/>
                <w:rFonts w:ascii="Calibri" w:hAnsi="Calibri"/>
                <w:sz w:val="16"/>
                <w:lang w:val="en-US"/>
              </w:rPr>
              <w:t xml:space="preserve"> at different organizational levels</w:t>
            </w:r>
          </w:p>
        </w:tc>
      </w:tr>
    </w:tbl>
    <w:p w:rsidR="00033EE9" w:rsidRPr="00033EE9" w:rsidRDefault="00033EE9" w:rsidP="00033EE9">
      <w:pPr>
        <w:rPr>
          <w:sz w:val="16"/>
          <w:szCs w:val="16"/>
          <w:u w:val="single"/>
          <w:lang w:val="en-US"/>
        </w:rPr>
      </w:pPr>
    </w:p>
    <w:p w:rsidR="00BC6F93" w:rsidRPr="00BC6F93" w:rsidRDefault="00BC6F93" w:rsidP="00BC6F93">
      <w:pPr>
        <w:ind w:right="74"/>
        <w:rPr>
          <w:rFonts w:ascii="Calibri" w:hAnsi="Calibri"/>
          <w:b/>
          <w:sz w:val="22"/>
          <w:lang w:val="en-US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bookmarkStart w:id="0" w:name="_GoBack"/>
      <w:bookmarkEnd w:id="0"/>
      <w:r>
        <w:rPr>
          <w:rFonts w:ascii="Calibri" w:hAnsi="Calibri"/>
          <w:b/>
          <w:lang w:val="en-GB"/>
        </w:rPr>
        <w:t>B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327BC3" w:rsidRPr="00D71642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617B69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857B40" w:rsidTr="00857B40">
        <w:trPr>
          <w:trHeight w:val="7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BC3" w:rsidRPr="00D91354" w:rsidRDefault="00327BC3" w:rsidP="00C5153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327BC3" w:rsidRPr="00857B40" w:rsidTr="00857B40">
        <w:trPr>
          <w:trHeight w:val="7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78" w:rsidRDefault="00610278" w:rsidP="00C5153F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327BC3" w:rsidRDefault="00327BC3" w:rsidP="00C5153F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610278" w:rsidRDefault="00610278" w:rsidP="00610278">
            <w:pPr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610278" w:rsidRPr="00610278" w:rsidRDefault="00610278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327BC3" w:rsidRPr="006B3D18" w:rsidRDefault="00327BC3" w:rsidP="00327BC3">
      <w:pPr>
        <w:rPr>
          <w:rFonts w:ascii="Calibri" w:hAnsi="Calibri"/>
          <w:b/>
          <w:sz w:val="10"/>
          <w:szCs w:val="10"/>
          <w:lang w:val="en-GB"/>
        </w:rPr>
      </w:pPr>
    </w:p>
    <w:p w:rsidR="00327BC3" w:rsidRPr="00617B69" w:rsidRDefault="00327BC3" w:rsidP="00327BC3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327BC3" w:rsidRPr="00617B69" w:rsidTr="00C5153F">
        <w:trPr>
          <w:trHeight w:val="45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45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327BC3" w:rsidRPr="00617B69" w:rsidRDefault="00327BC3" w:rsidP="00610278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-mm-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327BC3" w:rsidRPr="00617B69" w:rsidTr="00C5153F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857B40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857B40" w:rsidTr="00C5153F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327BC3" w:rsidRPr="00D71642" w:rsidTr="005B5D34">
        <w:trPr>
          <w:trHeight w:val="773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5B5D34" w:rsidRDefault="00FC55BC" w:rsidP="005B5D34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 xml:space="preserve">240 </w:t>
            </w:r>
            <w:r w:rsidR="005B5D34" w:rsidRPr="005B5D34">
              <w:rPr>
                <w:rFonts w:ascii="Calibri" w:hAnsi="Calibri"/>
                <w:b/>
                <w:color w:val="000000"/>
                <w:lang w:val="en-GB"/>
              </w:rPr>
              <w:t>hours</w:t>
            </w:r>
          </w:p>
        </w:tc>
      </w:tr>
      <w:tr w:rsidR="00327BC3" w:rsidRPr="00D71642" w:rsidTr="00C5153F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Pr="005B5D34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327BC3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5B5D34" w:rsidRDefault="005B5D34" w:rsidP="00C5153F">
            <w:pPr>
              <w:rPr>
                <w:rFonts w:ascii="Calibri" w:hAnsi="Calibri"/>
                <w:lang w:val="en-US"/>
              </w:rPr>
            </w:pPr>
          </w:p>
          <w:p w:rsidR="005B5D34" w:rsidRPr="005B5D34" w:rsidRDefault="005B5D34" w:rsidP="00C5153F">
            <w:pPr>
              <w:rPr>
                <w:rFonts w:ascii="Calibri" w:hAnsi="Calibri"/>
                <w:lang w:val="en-US"/>
              </w:rPr>
            </w:pPr>
            <w:r w:rsidRPr="005B5D34">
              <w:rPr>
                <w:rFonts w:ascii="Calibri" w:hAnsi="Calibri"/>
                <w:lang w:val="en-US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253C67">
        <w:trPr>
          <w:trHeight w:val="610"/>
        </w:trPr>
        <w:tc>
          <w:tcPr>
            <w:tcW w:w="2660" w:type="dxa"/>
            <w:shd w:val="clear" w:color="auto" w:fill="D9D9D9"/>
            <w:vAlign w:val="center"/>
          </w:tcPr>
          <w:p w:rsidR="00D32C8E" w:rsidRPr="004F62C0" w:rsidRDefault="00D32C8E" w:rsidP="00D32C8E">
            <w:pPr>
              <w:pStyle w:val="HTML-wstpniesformatowany"/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</w:pPr>
            <w:r w:rsidRPr="004F62C0">
              <w:rPr>
                <w:rFonts w:asciiTheme="minorHAnsi" w:eastAsia="Times New Roman" w:hAnsiTheme="minorHAnsi" w:cs="Courier New"/>
                <w:b/>
                <w:sz w:val="24"/>
                <w:szCs w:val="24"/>
                <w:lang w:val="en" w:eastAsia="pl-PL"/>
              </w:rPr>
              <w:lastRenderedPageBreak/>
              <w:t>PROFESSIONAL KNOWLEDGE</w:t>
            </w:r>
            <w:r w:rsidRPr="004F62C0">
              <w:rPr>
                <w:rFonts w:asciiTheme="minorHAnsi" w:eastAsia="Times New Roman" w:hAnsiTheme="minorHAnsi" w:cs="Courier New"/>
                <w:sz w:val="24"/>
                <w:szCs w:val="24"/>
                <w:lang w:val="en" w:eastAsia="pl-PL"/>
              </w:rPr>
              <w:t xml:space="preserve"> REQUIRED DURING THE RELATION</w:t>
            </w:r>
          </w:p>
          <w:p w:rsidR="00327BC3" w:rsidRPr="00D32C8E" w:rsidRDefault="004F62C0" w:rsidP="0012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i/>
                <w:lang w:val="en-US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Environmental protection 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–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PK</w:t>
            </w:r>
            <w:r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AE2B14" w:rsidRDefault="00AE2B14" w:rsidP="00AE2B14">
            <w:pPr>
              <w:rPr>
                <w:rFonts w:ascii="Calibri" w:hAnsi="Calibri"/>
              </w:rPr>
            </w:pPr>
          </w:p>
          <w:p w:rsidR="00AE2B14" w:rsidRDefault="00AE2B14" w:rsidP="00AE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B3D18" w:rsidRDefault="00327BC3" w:rsidP="00C515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>
              <w:rPr>
                <w:rFonts w:ascii="Calibri" w:hAnsi="Calibri"/>
                <w:b/>
                <w:lang w:val="en-GB"/>
              </w:rPr>
              <w:t xml:space="preserve"> 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Environmental protection </w:t>
            </w:r>
            <w:r w:rsidR="00CC3246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– </w:t>
            </w:r>
            <w:r w:rsidR="00CC3246" w:rsidRPr="00CC3246">
              <w:rPr>
                <w:rFonts w:ascii="Calibri" w:hAnsi="Calibri"/>
                <w:i/>
                <w:lang w:val="en-GB"/>
              </w:rPr>
              <w:t>in part A, PS</w:t>
            </w:r>
            <w:r w:rsidR="004F62C0" w:rsidRPr="00CC3246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Pr="004419C9" w:rsidRDefault="004419C9" w:rsidP="00C5153F">
            <w:pPr>
              <w:rPr>
                <w:rFonts w:ascii="Calibri" w:hAnsi="Calibri"/>
                <w:b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327BC3" w:rsidRPr="00D71642" w:rsidTr="00C5153F">
        <w:trPr>
          <w:trHeight w:val="740"/>
        </w:trPr>
        <w:tc>
          <w:tcPr>
            <w:tcW w:w="2660" w:type="dxa"/>
            <w:shd w:val="clear" w:color="auto" w:fill="D9D9D9"/>
            <w:vAlign w:val="center"/>
          </w:tcPr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327BC3" w:rsidRPr="00617B69" w:rsidRDefault="00327BC3" w:rsidP="00121D9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857B40" w:rsidRPr="00857B40">
              <w:rPr>
                <w:rFonts w:ascii="Calibri" w:hAnsi="Calibri"/>
                <w:i/>
                <w:color w:val="808080" w:themeColor="background1" w:themeShade="80"/>
                <w:lang w:val="en-GB"/>
              </w:rPr>
              <w:t xml:space="preserve">Environmental protection </w:t>
            </w:r>
            <w:r w:rsidR="00CC3246" w:rsidRPr="00E75E4A">
              <w:rPr>
                <w:rFonts w:ascii="Calibri" w:hAnsi="Calibri"/>
                <w:i/>
                <w:lang w:val="en-GB"/>
              </w:rPr>
              <w:t>– in part A, SS</w:t>
            </w:r>
            <w:r w:rsidR="004F62C0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27BC3" w:rsidRPr="00327BC3" w:rsidRDefault="00327BC3" w:rsidP="00C5153F">
            <w:pPr>
              <w:rPr>
                <w:rFonts w:ascii="Calibri" w:hAnsi="Calibri"/>
                <w:lang w:val="en-US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327BC3" w:rsidRDefault="00327BC3" w:rsidP="00C5153F">
            <w:pPr>
              <w:rPr>
                <w:rFonts w:ascii="Calibri" w:hAnsi="Calibri"/>
              </w:rPr>
            </w:pPr>
          </w:p>
          <w:p w:rsidR="00327BC3" w:rsidRDefault="00327BC3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4419C9" w:rsidRDefault="004419C9" w:rsidP="004419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4419C9" w:rsidRDefault="004419C9" w:rsidP="00C5153F">
            <w:pPr>
              <w:rPr>
                <w:rFonts w:ascii="Calibri" w:hAnsi="Calibri"/>
              </w:rPr>
            </w:pPr>
          </w:p>
          <w:p w:rsidR="00327BC3" w:rsidRPr="00617B69" w:rsidRDefault="00327BC3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</w:tbl>
    <w:p w:rsidR="00507F13" w:rsidRDefault="00507F13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083165" w:rsidRDefault="00083165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E75E4A" w:rsidRDefault="00E75E4A" w:rsidP="00327BC3">
      <w:pPr>
        <w:rPr>
          <w:rFonts w:ascii="Calibri" w:hAnsi="Calibri"/>
          <w:lang w:val="en-GB"/>
        </w:rPr>
      </w:pPr>
    </w:p>
    <w:p w:rsidR="009421E2" w:rsidRPr="00617B69" w:rsidRDefault="009421E2" w:rsidP="00327BC3">
      <w:pPr>
        <w:rPr>
          <w:rFonts w:ascii="Calibri" w:hAnsi="Calibri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327BC3" w:rsidRPr="00857B40" w:rsidTr="00C5153F">
        <w:trPr>
          <w:jc w:val="center"/>
        </w:trPr>
        <w:tc>
          <w:tcPr>
            <w:tcW w:w="3545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327BC3" w:rsidRPr="00617B69" w:rsidRDefault="00327BC3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5D6B05" w:rsidRPr="00F06818" w:rsidRDefault="005D6B05" w:rsidP="00CF6A2F">
      <w:pPr>
        <w:ind w:left="-284"/>
        <w:jc w:val="right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9F4889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  <w:footnote w:id="1">
    <w:p w:rsidR="00033EE9" w:rsidRPr="00327BC3" w:rsidRDefault="00033EE9" w:rsidP="00327BC3">
      <w:pPr>
        <w:pStyle w:val="Tekstprzypisudolnego"/>
        <w:jc w:val="both"/>
        <w:rPr>
          <w:sz w:val="18"/>
          <w:szCs w:val="18"/>
          <w:lang w:val="en-GB"/>
        </w:rPr>
      </w:pPr>
      <w:r w:rsidRPr="00327BC3">
        <w:rPr>
          <w:rFonts w:ascii="Calibri" w:hAnsi="Calibri" w:cs="Calibri"/>
          <w:sz w:val="18"/>
          <w:szCs w:val="18"/>
          <w:vertAlign w:val="superscript"/>
          <w:lang w:val="en-GB"/>
        </w:rPr>
        <w:t>1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The internship has to take place between </w:t>
      </w:r>
      <w:r>
        <w:rPr>
          <w:rFonts w:ascii="Calibri" w:hAnsi="Calibri" w:cs="Calibri"/>
          <w:sz w:val="18"/>
          <w:szCs w:val="18"/>
          <w:lang w:val="en-GB"/>
        </w:rPr>
        <w:t>November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1, 201</w:t>
      </w:r>
      <w:r>
        <w:rPr>
          <w:rFonts w:ascii="Calibri" w:hAnsi="Calibri" w:cs="Calibri"/>
          <w:sz w:val="18"/>
          <w:szCs w:val="18"/>
          <w:lang w:val="en-GB"/>
        </w:rPr>
        <w:t>8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and </w:t>
      </w:r>
      <w:r>
        <w:rPr>
          <w:rFonts w:ascii="Calibri" w:hAnsi="Calibri" w:cs="Calibri"/>
          <w:sz w:val="18"/>
          <w:szCs w:val="18"/>
          <w:lang w:val="en-GB"/>
        </w:rPr>
        <w:t>October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 31, 20</w:t>
      </w:r>
      <w:r>
        <w:rPr>
          <w:rFonts w:ascii="Calibri" w:hAnsi="Calibri" w:cs="Calibri"/>
          <w:sz w:val="18"/>
          <w:szCs w:val="18"/>
          <w:lang w:val="en-GB"/>
        </w:rPr>
        <w:t>20</w:t>
      </w:r>
      <w:r w:rsidRPr="00327BC3">
        <w:rPr>
          <w:rFonts w:ascii="Calibri" w:hAnsi="Calibri" w:cs="Calibri"/>
          <w:sz w:val="18"/>
          <w:szCs w:val="18"/>
          <w:lang w:val="en-GB"/>
        </w:rPr>
        <w:t xml:space="preserve">. </w:t>
      </w:r>
    </w:p>
  </w:footnote>
  <w:footnote w:id="2">
    <w:p w:rsidR="00033EE9" w:rsidRPr="00BA2775" w:rsidRDefault="00033EE9" w:rsidP="00327BC3">
      <w:pPr>
        <w:pStyle w:val="Tekstprzypisudolnego"/>
        <w:jc w:val="both"/>
        <w:rPr>
          <w:lang w:val="en-GB"/>
        </w:rPr>
      </w:pPr>
      <w:r w:rsidRPr="00327BC3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327BC3">
        <w:rPr>
          <w:rFonts w:ascii="Calibri" w:hAnsi="Calibri"/>
          <w:sz w:val="18"/>
          <w:szCs w:val="18"/>
          <w:lang w:val="en-GB"/>
        </w:rPr>
        <w:t xml:space="preserve">The internship has to match the following timetable: maximum 8 hours daily and 40 hours weekly; minimum 20 hours </w:t>
      </w:r>
      <w:r>
        <w:rPr>
          <w:rFonts w:ascii="Calibri" w:hAnsi="Calibri"/>
          <w:sz w:val="18"/>
          <w:szCs w:val="18"/>
          <w:lang w:val="en-GB"/>
        </w:rPr>
        <w:t>weekly</w:t>
      </w:r>
      <w:r w:rsidRPr="00327BC3">
        <w:rPr>
          <w:rFonts w:ascii="Calibri" w:hAnsi="Calibri"/>
          <w:sz w:val="18"/>
          <w:szCs w:val="18"/>
          <w:lang w:val="en-GB"/>
        </w:rPr>
        <w:t>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48C"/>
    <w:rsid w:val="00013B8E"/>
    <w:rsid w:val="00015A69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57B40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C036E6"/>
    <w:rsid w:val="00C0796B"/>
    <w:rsid w:val="00C13F8D"/>
    <w:rsid w:val="00C2796A"/>
    <w:rsid w:val="00C27C94"/>
    <w:rsid w:val="00C407E8"/>
    <w:rsid w:val="00C40B12"/>
    <w:rsid w:val="00C41C90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484B"/>
    <w:rsid w:val="00E27585"/>
    <w:rsid w:val="00E4759D"/>
    <w:rsid w:val="00E47A53"/>
    <w:rsid w:val="00E502C9"/>
    <w:rsid w:val="00E604E8"/>
    <w:rsid w:val="00E631D4"/>
    <w:rsid w:val="00E74C29"/>
    <w:rsid w:val="00E75E4A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E7A20"/>
    <w:rsid w:val="00EF245C"/>
    <w:rsid w:val="00F01249"/>
    <w:rsid w:val="00F06818"/>
    <w:rsid w:val="00F17801"/>
    <w:rsid w:val="00F26F2C"/>
    <w:rsid w:val="00F32427"/>
    <w:rsid w:val="00F32D2E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FD72-B238-4155-B9DC-230A0F5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2018-12-14T11:29:00Z</cp:lastPrinted>
  <dcterms:created xsi:type="dcterms:W3CDTF">2019-02-19T11:53:00Z</dcterms:created>
  <dcterms:modified xsi:type="dcterms:W3CDTF">2019-03-12T10:57:00Z</dcterms:modified>
</cp:coreProperties>
</file>